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377</w:t>
      </w:r>
    </w:p>
    <w:p>
      <w:r>
        <w:t>Bundesgericht (BGE), 1995-11-27, FR</w:t>
      </w:r>
    </w:p>
    <w:p>
      <w:r>
        <w:rPr>
          <w:b/>
        </w:rPr>
        <w:t xml:space="preserve">Quelle: </w:t>
      </w:r>
      <w:r>
        <w:t>https://mcp.opencaselaw.ch/entscheid/bge_121 V 377</w:t>
      </w:r>
    </w:p>
    <w:p>
      <w:r>
        <w:t>FR: ATF 121 V 377</w:t>
      </w:r>
    </w:p>
    <w:p>
      <w:r>
        <w:t>IT: DTF 121 V 377</w:t>
      </w:r>
    </w:p>
    <w:p>
      <w:pPr>
        <w:pStyle w:val="Heading2"/>
      </w:pPr>
      <w:r>
        <w:t>Regeste</w:t>
      </w:r>
    </w:p>
    <w:p>
      <w:r>
        <w:t>Regeste Art. 51 und 52 Abs. 1 AVIG: Insolvenzentschädigung. Die Insolvenzentschädigung deckt weder Ansprüche aus fristloser und ungerechtfertigter Entlassung des Arbeitnehmers noch solche bei Auflösung des Arbeitsverhältnisses zur Unzeit, wenn der Arbeitnehmer keine Arbeit geleistet hat.</w:t>
      </w:r>
    </w:p>
    <w:p>
      <w:pPr>
        <w:pStyle w:val="Heading2"/>
      </w:pPr>
      <w:r>
        <w:t>Erwägungen</w:t>
      </w:r>
    </w:p>
    <w:p>
      <w:r>
        <w:rPr>
          <w:b/>
        </w:rPr>
        <w:t>E. 1</w:t>
      </w:r>
    </w:p>
    <w:p>
      <w:r>
        <w:t>Selon l' art. 51 LACI , les travailleurs assujettis au paiement des cotisations, qui sont au service d'un employeur insolvable sujet à une procédure d'exécution forcée en Suisse ou employant des travailleurs en Suisse, ont droit à une indemnité pour insolvabilité lorsque: a. Une procédure de faillite est engagée contre leur employeur et qu'ils ont, à ce moment-là, des créances de salaire envers lui ou que b. La procédure de faillite n'est pas engagée pour la seule raison qu'aucun créancier n'est prêt, à cause de l'endettement notoire de l'employeur, à faire l'avance de frais ou c. Ils ont présenté une demande de saisie pour créance de salaire envers leur employeur. BGE 121 V 377 S. 379 L'indemnité en cas d'insolvabilité couvre les créances de salaire portant sur les trois derniers mois du rapport de travail, jusqu'à concurrence, pour chaque mois, du montant maximum soumis à cotisations; les allocations dues au travailleur sont réputées partie intégrante du salaire ( art. 52 al. 1 LACI ).</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ATF 111 V 270 consid. 1b, ATF 110 V 30 ;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 art. 15 al. 1 LACI ) et s'il pouvait se soumettre aux prescriptions de contrôle de l'administration ( art. 17 LACI );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 art. 8 ss LACI ); il existe une situation de chômage, qui est la condition première du droit à ladite indemnité ( art. 8 al. 1 let. a LACI ;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 art. 11 al. 3 LACI ) et il ne peut prétendre l'indemnité de chômage ( art. 8 al. 1 let. b LACI ; ATF 119 V 46 , ATF 115 V 437 ; MEYER-BLASER, loc.cit., p. 184). Toutefois, en cas de doutes quant aux droits découlant du contrat de travail, la caisse verse l'indemnité et se subroge au chômeur dans tous ses droits, y compris le privilège légal, jusqu'à concurrence de BGE 121 V 377 S. 380 l'indemnité de chômage versée par elle, conformément à l' art. 29 al. 1 et 2 LACI .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3</w:t>
      </w:r>
    </w:p>
    <w:p>
      <w:r>
        <w:t>a) L'Autorité cantonale et de recours est de l'avis que ces principes ne sont pas applicables lorsque le congé donné par l'employeur est nul, parce qu'il a été signifié pendant une période de protection légale ( art. 336c CO ).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 art. 336c al. 1 let . c CO). Le congé donné pendant cette période est nul ( art. 336c al. 2 CO ) et les rapports de travail sont maintenus. Si l'employeur n'accepte pas que le travailleur reprenne son emploi, il se trouve en demeure ( art. 324 CO ) et reste tenu au paiement du salaire (WEBER, La protection des travailleurs contre les licenciements en temps inopportun, étude de l' art. 336c CO , thèse Lausanne 1992, p. 137). A la différence de l' art. 336c al. 2 CO , l' 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BGE 121 V 377 S. 381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 ATF 119 V 157 consid. 2a). Les prétentions visées par l' art. 29 LACI , pour lesquelles il peut exister des doutes (et qui correspondent aux prétentions de salaire ou à des indemnités au sens de l' art. 11 al. 3 LACI )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BGE 121 V 377 S. 382 selon l' art. 15 al. 1 LACI .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